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05EE" w14:textId="326F0EF3" w:rsidR="00CA19FC" w:rsidRPr="00DD0851" w:rsidRDefault="00CA19FC" w:rsidP="00CA19F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D0851">
        <w:rPr>
          <w:rFonts w:ascii="Tahoma" w:hAnsi="Tahoma" w:cs="Tahoma"/>
          <w:b/>
          <w:bCs/>
          <w:sz w:val="24"/>
          <w:szCs w:val="24"/>
        </w:rPr>
        <w:t>Studie EY: Průmyslová soběstačnost je jedním z</w:t>
      </w:r>
      <w:r w:rsidRPr="00DD0851">
        <w:rPr>
          <w:rFonts w:ascii="Tahoma" w:hAnsi="Tahoma" w:cs="Tahoma"/>
          <w:b/>
          <w:bCs/>
          <w:sz w:val="24"/>
          <w:szCs w:val="24"/>
        </w:rPr>
        <w:t> </w:t>
      </w:r>
      <w:r w:rsidRPr="00DD0851">
        <w:rPr>
          <w:rFonts w:ascii="Tahoma" w:hAnsi="Tahoma" w:cs="Tahoma"/>
          <w:b/>
          <w:bCs/>
          <w:sz w:val="24"/>
          <w:szCs w:val="24"/>
        </w:rPr>
        <w:t>nejdůležitějších</w:t>
      </w:r>
      <w:r w:rsidRPr="00DD085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D0851">
        <w:rPr>
          <w:rFonts w:ascii="Tahoma" w:hAnsi="Tahoma" w:cs="Tahoma"/>
          <w:b/>
          <w:bCs/>
          <w:sz w:val="24"/>
          <w:szCs w:val="24"/>
        </w:rPr>
        <w:t>témat Evropské unie. Česko má potenciál být lídrem</w:t>
      </w:r>
      <w:r w:rsidRPr="00DD085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D0851">
        <w:rPr>
          <w:rFonts w:ascii="Tahoma" w:hAnsi="Tahoma" w:cs="Tahoma"/>
          <w:b/>
          <w:bCs/>
          <w:sz w:val="24"/>
          <w:szCs w:val="24"/>
        </w:rPr>
        <w:t>transformace</w:t>
      </w:r>
    </w:p>
    <w:p w14:paraId="16867398" w14:textId="65A3B4EC" w:rsidR="00CA19FC" w:rsidRPr="00DD0851" w:rsidRDefault="00CA19FC" w:rsidP="00CA19FC">
      <w:pPr>
        <w:shd w:val="clear" w:color="auto" w:fill="FFFFFF"/>
        <w:jc w:val="both"/>
        <w:rPr>
          <w:sz w:val="20"/>
          <w:szCs w:val="20"/>
        </w:rPr>
      </w:pPr>
      <w:r w:rsidRPr="00DD0851">
        <w:rPr>
          <w:rFonts w:ascii="Tahoma" w:hAnsi="Tahoma" w:cs="Tahoma"/>
          <w:b/>
          <w:bCs/>
          <w:sz w:val="20"/>
          <w:szCs w:val="20"/>
        </w:rPr>
        <w:t>Praha</w:t>
      </w:r>
      <w:r w:rsidR="00CC3ED7" w:rsidRPr="00DD0851">
        <w:rPr>
          <w:rFonts w:ascii="Tahoma" w:hAnsi="Tahoma" w:cs="Tahoma"/>
          <w:b/>
          <w:bCs/>
          <w:sz w:val="20"/>
          <w:szCs w:val="20"/>
        </w:rPr>
        <w:t>,</w:t>
      </w:r>
      <w:r w:rsidR="005F33C0" w:rsidRPr="00DD085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75A0F" w:rsidRPr="00DD0851">
        <w:rPr>
          <w:rFonts w:ascii="Tahoma" w:hAnsi="Tahoma" w:cs="Tahoma"/>
          <w:b/>
          <w:bCs/>
          <w:sz w:val="20"/>
          <w:szCs w:val="20"/>
        </w:rPr>
        <w:t>2</w:t>
      </w:r>
      <w:r w:rsidRPr="00DD0851">
        <w:rPr>
          <w:rFonts w:ascii="Tahoma" w:hAnsi="Tahoma" w:cs="Tahoma"/>
          <w:b/>
          <w:bCs/>
          <w:sz w:val="20"/>
          <w:szCs w:val="20"/>
        </w:rPr>
        <w:t>8</w:t>
      </w:r>
      <w:r w:rsidR="005F33C0" w:rsidRPr="00DD0851">
        <w:rPr>
          <w:rFonts w:ascii="Tahoma" w:hAnsi="Tahoma" w:cs="Tahoma"/>
          <w:b/>
          <w:bCs/>
          <w:sz w:val="20"/>
          <w:szCs w:val="20"/>
        </w:rPr>
        <w:t>.</w:t>
      </w:r>
      <w:r w:rsidR="00E2061C" w:rsidRPr="00DD085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D0851">
        <w:rPr>
          <w:rFonts w:ascii="Tahoma" w:hAnsi="Tahoma" w:cs="Tahoma"/>
          <w:b/>
          <w:bCs/>
          <w:sz w:val="20"/>
          <w:szCs w:val="20"/>
        </w:rPr>
        <w:t>května</w:t>
      </w:r>
      <w:r w:rsidR="00F75A0F" w:rsidRPr="00DD0851">
        <w:rPr>
          <w:rFonts w:ascii="Tahoma" w:hAnsi="Tahoma" w:cs="Tahoma"/>
          <w:b/>
          <w:bCs/>
          <w:sz w:val="20"/>
          <w:szCs w:val="20"/>
        </w:rPr>
        <w:t xml:space="preserve"> 2024</w:t>
      </w:r>
      <w:r w:rsidR="005F33C0" w:rsidRPr="00DD085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2061C" w:rsidRPr="00DD0851">
        <w:rPr>
          <w:rFonts w:ascii="Tahoma" w:hAnsi="Tahoma" w:cs="Tahoma"/>
          <w:b/>
          <w:bCs/>
          <w:sz w:val="20"/>
          <w:szCs w:val="20"/>
        </w:rPr>
        <w:t>–</w:t>
      </w:r>
      <w:r w:rsidR="005F33C0" w:rsidRPr="00DD085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D0851">
        <w:rPr>
          <w:rFonts w:ascii="Tahoma" w:hAnsi="Tahoma" w:cs="Tahoma"/>
          <w:b/>
          <w:bCs/>
          <w:sz w:val="20"/>
          <w:szCs w:val="20"/>
        </w:rPr>
        <w:t xml:space="preserve">V </w:t>
      </w:r>
      <w:r w:rsidRPr="00DD0851">
        <w:rPr>
          <w:rFonts w:ascii="Tahoma" w:hAnsi="Tahoma" w:cs="Tahoma"/>
          <w:b/>
          <w:bCs/>
          <w:sz w:val="20"/>
          <w:szCs w:val="20"/>
        </w:rPr>
        <w:t>návaznosti na krizi dodavatelských řetězců během pandemie covidu-19 nebo války na Ukrajině Evropa intenzivně řeší téma průmyslové soběstačnosti. Analýza průmyslové soběstačnosti České republiky od EY podrobně zmapovala aktuální globální rizika a nabízí sadu doporučení, jak může v této oblasti Česko využít svůj potenciál.</w:t>
      </w:r>
    </w:p>
    <w:p w14:paraId="63664B0D" w14:textId="6EEE2842" w:rsidR="00CA19FC" w:rsidRPr="00DD0851" w:rsidRDefault="00CA19FC" w:rsidP="00CA19FC">
      <w:pPr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sz w:val="20"/>
          <w:szCs w:val="20"/>
        </w:rPr>
        <w:t>Geograficky rozptýlené a dlouhé dodavatelské řetězce jsou jednoduše narušitelné. Geopolitické krize, obchodní války, přírodní katastrofy a války samotné přinášejí velkou pravděpodobnost přerušení toku materiálu a zboží. Třeba potenciální geograficky vzdálený konflikt mezi Čínou a</w:t>
      </w:r>
      <w:r w:rsidRPr="00DD0851">
        <w:rPr>
          <w:rFonts w:ascii="Tahoma" w:hAnsi="Tahoma" w:cs="Tahoma"/>
          <w:sz w:val="20"/>
          <w:szCs w:val="20"/>
        </w:rPr>
        <w:t> </w:t>
      </w:r>
      <w:r w:rsidRPr="00DD0851">
        <w:rPr>
          <w:rFonts w:ascii="Tahoma" w:hAnsi="Tahoma" w:cs="Tahoma"/>
          <w:sz w:val="20"/>
          <w:szCs w:val="20"/>
        </w:rPr>
        <w:t>Tchaj-wanem by měl nedozírné následky i pro evropskou ekonomiku. Přes 40 % obchodu EU probíhá přes jednu z</w:t>
      </w:r>
      <w:r w:rsidR="00DD0851">
        <w:rPr>
          <w:rFonts w:ascii="Tahoma" w:hAnsi="Tahoma" w:cs="Tahoma"/>
          <w:sz w:val="20"/>
          <w:szCs w:val="20"/>
        </w:rPr>
        <w:t> </w:t>
      </w:r>
      <w:r w:rsidRPr="00DD0851">
        <w:rPr>
          <w:rFonts w:ascii="Tahoma" w:hAnsi="Tahoma" w:cs="Tahoma"/>
          <w:sz w:val="20"/>
          <w:szCs w:val="20"/>
        </w:rPr>
        <w:t xml:space="preserve">nejvytíženějších obchodních tras – Tchajwanský průliv. Tchaj-wan je také jedním z nejvýznamnějších světových výrobců čipů a polovodičů. Případné zastavení výroby by znamenalo globální nedostatek součástek a náhradních dílů. Hrozí tak riziko celosvětové hospodářské recese, trvalé inflace, masových státních bankrotů, růstu nezaměstnanosti a možných sociálních nepokojů. </w:t>
      </w:r>
    </w:p>
    <w:p w14:paraId="665A1C45" w14:textId="54063908" w:rsidR="00CA19FC" w:rsidRPr="00DD0851" w:rsidRDefault="00CA19FC" w:rsidP="00CA19FC">
      <w:pPr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sz w:val="20"/>
          <w:szCs w:val="20"/>
        </w:rPr>
        <w:t>Z analýzy vyplývá, že pro průmyslovou činnost je optimální, aby suroviny, komponenty, pracovní síla, stroje a zařízení pocházely ze zdrojů domácí ekonomiky a byly cenově a</w:t>
      </w:r>
      <w:r w:rsidRPr="00DD0851">
        <w:rPr>
          <w:rFonts w:ascii="Tahoma" w:hAnsi="Tahoma" w:cs="Tahoma"/>
          <w:sz w:val="20"/>
          <w:szCs w:val="20"/>
        </w:rPr>
        <w:t> </w:t>
      </w:r>
      <w:r w:rsidRPr="00DD0851">
        <w:rPr>
          <w:rFonts w:ascii="Tahoma" w:hAnsi="Tahoma" w:cs="Tahoma"/>
          <w:sz w:val="20"/>
          <w:szCs w:val="20"/>
        </w:rPr>
        <w:t>kvalitativně nejvýhodnější. V</w:t>
      </w:r>
      <w:r w:rsidR="00DD0851">
        <w:rPr>
          <w:rFonts w:ascii="Tahoma" w:hAnsi="Tahoma" w:cs="Tahoma"/>
          <w:sz w:val="20"/>
          <w:szCs w:val="20"/>
        </w:rPr>
        <w:t> </w:t>
      </w:r>
      <w:r w:rsidRPr="00DD0851">
        <w:rPr>
          <w:rFonts w:ascii="Tahoma" w:hAnsi="Tahoma" w:cs="Tahoma"/>
          <w:sz w:val="20"/>
          <w:szCs w:val="20"/>
        </w:rPr>
        <w:t>roce 2021 tvořily výrobky zpracovatelského průmyslu 91,8 % dovozu do ČR, s největším podílem v</w:t>
      </w:r>
      <w:r w:rsidR="00DD0851">
        <w:rPr>
          <w:rFonts w:ascii="Tahoma" w:hAnsi="Tahoma" w:cs="Tahoma"/>
          <w:sz w:val="20"/>
          <w:szCs w:val="20"/>
        </w:rPr>
        <w:t> </w:t>
      </w:r>
      <w:r w:rsidRPr="00DD0851">
        <w:rPr>
          <w:rFonts w:ascii="Tahoma" w:hAnsi="Tahoma" w:cs="Tahoma"/>
          <w:sz w:val="20"/>
          <w:szCs w:val="20"/>
        </w:rPr>
        <w:t xml:space="preserve">oblasti motorových vozidel, počítačů a elektroniky, přičemž hodnota importu vzrostla z 1 878,6 mld. Kč v roce 2005 na 3 958,1 mld. Kč v roce 2021. </w:t>
      </w:r>
      <w:r w:rsidRPr="00DD0851">
        <w:rPr>
          <w:rFonts w:ascii="Tahoma" w:hAnsi="Tahoma" w:cs="Tahoma"/>
          <w:i/>
          <w:iCs/>
          <w:sz w:val="20"/>
          <w:szCs w:val="20"/>
        </w:rPr>
        <w:t>„Pro posílení domácího průmyslu je důležité rozvíjet výrobní kapacity, zlepšovat know-how, snižovat administrativu a hledat alternativy k dovozu. Jako hlavní pilíře pro posílení průmyslové soběstačnosti ČR vnímám inovace, využití průmyslové tradice ČR, přilákání kvalifikovaných pracovníků a robustní energetickou infrastrukturu,“</w:t>
      </w:r>
      <w:r w:rsidRPr="00DD0851">
        <w:rPr>
          <w:rFonts w:ascii="Tahoma" w:hAnsi="Tahoma" w:cs="Tahoma"/>
          <w:sz w:val="20"/>
          <w:szCs w:val="20"/>
        </w:rPr>
        <w:t xml:space="preserve"> říká </w:t>
      </w:r>
      <w:r w:rsidRPr="00DD0851">
        <w:rPr>
          <w:rFonts w:ascii="Tahoma" w:hAnsi="Tahoma" w:cs="Tahoma"/>
          <w:b/>
          <w:bCs/>
          <w:sz w:val="20"/>
          <w:szCs w:val="20"/>
        </w:rPr>
        <w:t>Zdeněk Dušek, partner, EY Česká republika</w:t>
      </w:r>
      <w:r w:rsidRPr="00DD0851">
        <w:rPr>
          <w:rFonts w:ascii="Tahoma" w:hAnsi="Tahoma" w:cs="Tahoma"/>
          <w:sz w:val="20"/>
          <w:szCs w:val="20"/>
        </w:rPr>
        <w:t>.</w:t>
      </w:r>
    </w:p>
    <w:p w14:paraId="2CD72E8E" w14:textId="77777777" w:rsidR="00CA19FC" w:rsidRPr="00DD0851" w:rsidRDefault="00CA19FC" w:rsidP="00CA19FC">
      <w:pPr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sz w:val="20"/>
          <w:szCs w:val="20"/>
        </w:rPr>
        <w:t xml:space="preserve">Evropská unie tak vyvíjí snahy o lokalizaci co největší části dodavatelských řetězců. Části řetězců, které nemůže lokalizovat přímo, by pak měla využívat ve stabilních a spřátelených částech světa (např. Severní Amerika). Výsledkem jsou třeba dokumenty jako Antverpská deklarace o evropské průmyslové dohodě nebo Evropský akt o kritických surovinách, které mají posílit roli Evropy jako světové průmyslové velmoci. To znamená příležitost i pro českou ekonomiku, která disponuje už od 19. století vysokou mírou industrializace. </w:t>
      </w:r>
    </w:p>
    <w:p w14:paraId="6A9A4A8B" w14:textId="1F1D15E1" w:rsidR="00CA19FC" w:rsidRPr="00DD0851" w:rsidRDefault="00CA19FC" w:rsidP="00CA19FC">
      <w:pPr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i/>
          <w:iCs/>
          <w:sz w:val="20"/>
          <w:szCs w:val="20"/>
        </w:rPr>
        <w:t xml:space="preserve"> „Musíme se zaměřit na diverzifikaci zdrojů a stát se atraktivní pro </w:t>
      </w:r>
      <w:proofErr w:type="spellStart"/>
      <w:r w:rsidRPr="00DD0851">
        <w:rPr>
          <w:rFonts w:ascii="Tahoma" w:hAnsi="Tahoma" w:cs="Tahoma"/>
          <w:i/>
          <w:iCs/>
          <w:sz w:val="20"/>
          <w:szCs w:val="20"/>
        </w:rPr>
        <w:t>nearshoring</w:t>
      </w:r>
      <w:proofErr w:type="spellEnd"/>
      <w:r w:rsidRPr="00DD0851">
        <w:rPr>
          <w:rFonts w:ascii="Tahoma" w:hAnsi="Tahoma" w:cs="Tahoma"/>
          <w:i/>
          <w:iCs/>
          <w:sz w:val="20"/>
          <w:szCs w:val="20"/>
        </w:rPr>
        <w:t>. Pokud naše extrémně otevřená ekonomika nechce zůstat zranitelná narušenými dodavatelskými řetězci, měli bychom usilovat o lokalizaci co největší části dodavatelských řetězců do České republiky a podpořit automatizaci a</w:t>
      </w:r>
      <w:r w:rsidR="00DD0851">
        <w:rPr>
          <w:rFonts w:ascii="Tahoma" w:hAnsi="Tahoma" w:cs="Tahoma"/>
          <w:i/>
          <w:iCs/>
          <w:sz w:val="20"/>
          <w:szCs w:val="20"/>
        </w:rPr>
        <w:t> </w:t>
      </w:r>
      <w:r w:rsidRPr="00DD0851">
        <w:rPr>
          <w:rFonts w:ascii="Tahoma" w:hAnsi="Tahoma" w:cs="Tahoma"/>
          <w:i/>
          <w:iCs/>
          <w:sz w:val="20"/>
          <w:szCs w:val="20"/>
        </w:rPr>
        <w:t>robotizaci všech typů výrob,“</w:t>
      </w:r>
      <w:r w:rsidRPr="00DD0851">
        <w:rPr>
          <w:rFonts w:ascii="Tahoma" w:hAnsi="Tahoma" w:cs="Tahoma"/>
          <w:sz w:val="20"/>
          <w:szCs w:val="20"/>
        </w:rPr>
        <w:t xml:space="preserve"> říká </w:t>
      </w:r>
      <w:r w:rsidRPr="00DD0851">
        <w:rPr>
          <w:rFonts w:ascii="Tahoma" w:hAnsi="Tahoma" w:cs="Tahoma"/>
          <w:b/>
          <w:bCs/>
          <w:sz w:val="20"/>
          <w:szCs w:val="20"/>
        </w:rPr>
        <w:t>Ondřej Votruba, výkonný ředitel Sdružení pro zahraniční investice – AFI</w:t>
      </w:r>
      <w:r w:rsidRPr="00DD0851">
        <w:rPr>
          <w:rFonts w:ascii="Tahoma" w:hAnsi="Tahoma" w:cs="Tahoma"/>
          <w:sz w:val="20"/>
          <w:szCs w:val="20"/>
        </w:rPr>
        <w:t>.</w:t>
      </w:r>
    </w:p>
    <w:p w14:paraId="4CE68BC0" w14:textId="6F97D23F" w:rsidR="00CA19FC" w:rsidRPr="00DD0851" w:rsidRDefault="00CA19FC" w:rsidP="00CA19FC">
      <w:pPr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sz w:val="20"/>
          <w:szCs w:val="20"/>
        </w:rPr>
        <w:t>Analýza také ukazuje, že v případě železa, oceli a výrobků z nich máme mírně pozitivní obchodní bilanci v jejich objemu. V cenách je ale bilance výrazně minusová, a to v řádu 11,4</w:t>
      </w:r>
      <w:r w:rsidRPr="00DD0851">
        <w:rPr>
          <w:rFonts w:ascii="Tahoma" w:hAnsi="Tahoma" w:cs="Tahoma"/>
          <w:sz w:val="20"/>
          <w:szCs w:val="20"/>
        </w:rPr>
        <w:t> </w:t>
      </w:r>
      <w:r w:rsidRPr="00DD0851">
        <w:rPr>
          <w:rFonts w:ascii="Tahoma" w:hAnsi="Tahoma" w:cs="Tahoma"/>
          <w:sz w:val="20"/>
          <w:szCs w:val="20"/>
        </w:rPr>
        <w:t xml:space="preserve">mld. Kč. Znamená to tedy, že dovážíme ve vyšších cenách, než vyvážíme. A podobná situace se netýká jen železa a oceli. </w:t>
      </w:r>
      <w:r w:rsidRPr="00DD0851">
        <w:rPr>
          <w:rFonts w:ascii="Tahoma" w:hAnsi="Tahoma" w:cs="Tahoma"/>
          <w:i/>
          <w:iCs/>
          <w:sz w:val="20"/>
          <w:szCs w:val="20"/>
        </w:rPr>
        <w:t>„U řady surovin nevyvážíme s přidanou hodnotou. Třeba u výrobků ze zinku dovážíme 6,6 tis. tun v hodnotě 1,2</w:t>
      </w:r>
      <w:r w:rsidR="00DD0851">
        <w:rPr>
          <w:rFonts w:ascii="Tahoma" w:hAnsi="Tahoma" w:cs="Tahoma"/>
          <w:i/>
          <w:iCs/>
          <w:sz w:val="20"/>
          <w:szCs w:val="20"/>
        </w:rPr>
        <w:t> </w:t>
      </w:r>
      <w:r w:rsidRPr="00DD0851">
        <w:rPr>
          <w:rFonts w:ascii="Tahoma" w:hAnsi="Tahoma" w:cs="Tahoma"/>
          <w:i/>
          <w:iCs/>
          <w:sz w:val="20"/>
          <w:szCs w:val="20"/>
        </w:rPr>
        <w:t>miliardy korun, ale vyvážíme v úplně stejné hodnotě 10,2 tis. tun, tedy vyvážíme mnohem levněji, než dovážíme. Naopak u lithia dovážíme 1,9 tis. tun galvanických článků a lithiových baterií v hodnotě 1,6 miliardy korun. Vyvážíme pouze 0,5 tis. tun, ale v hodnotě 1 miliardy – tady je vidět, že s přidanou hodnotou dokážeme pracovat správně a mohlo by tomu tak být i u ostatních surovin,“</w:t>
      </w:r>
      <w:r w:rsidRPr="00DD0851">
        <w:rPr>
          <w:rFonts w:ascii="Tahoma" w:hAnsi="Tahoma" w:cs="Tahoma"/>
          <w:sz w:val="20"/>
          <w:szCs w:val="20"/>
        </w:rPr>
        <w:t xml:space="preserve"> doplňuje </w:t>
      </w:r>
      <w:r w:rsidRPr="00DD0851">
        <w:rPr>
          <w:rFonts w:ascii="Tahoma" w:hAnsi="Tahoma" w:cs="Tahoma"/>
          <w:b/>
          <w:bCs/>
          <w:sz w:val="20"/>
          <w:szCs w:val="20"/>
        </w:rPr>
        <w:t>Ondřej Votruba</w:t>
      </w:r>
      <w:r w:rsidRPr="00DD0851">
        <w:rPr>
          <w:rFonts w:ascii="Tahoma" w:hAnsi="Tahoma" w:cs="Tahoma"/>
          <w:sz w:val="20"/>
          <w:szCs w:val="20"/>
        </w:rPr>
        <w:t>.</w:t>
      </w:r>
    </w:p>
    <w:p w14:paraId="7469B6E6" w14:textId="5460AE74" w:rsidR="00CA19FC" w:rsidRPr="00DD0851" w:rsidRDefault="00CA19FC" w:rsidP="00CA19FC">
      <w:pPr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sz w:val="20"/>
          <w:szCs w:val="20"/>
        </w:rPr>
        <w:t xml:space="preserve"> </w:t>
      </w:r>
      <w:r w:rsidRPr="00DD0851">
        <w:rPr>
          <w:rFonts w:ascii="Tahoma" w:hAnsi="Tahoma" w:cs="Tahoma"/>
          <w:i/>
          <w:iCs/>
          <w:sz w:val="20"/>
          <w:szCs w:val="20"/>
        </w:rPr>
        <w:t xml:space="preserve">„Česká republika ukázala, že umí nabídnout zázemí pro výrobu s přidanou hodnotou. Ještě větší výhodu bychom získali, kdybychom měli dostatek zón připravených pro moderní průmyslovou výstavbu. Proto je potřeba rychlejší a předvídatelnější povolování staveb. Také jsou nutné opravdu komplexní strukturální změny v celém procesu, nejen dílčí změny stavebního zákona. Musíme se také zaměřit na nastavení rozpočtového určení daní, aby byly obce více motivované k rozvoji, a snížit byrokracii stávajícím podnikům a podnikatelům obecně, aby mohli více investovat do automatizace a zvýšení </w:t>
      </w:r>
      <w:r w:rsidRPr="00DD0851">
        <w:rPr>
          <w:rFonts w:ascii="Tahoma" w:hAnsi="Tahoma" w:cs="Tahoma"/>
          <w:i/>
          <w:iCs/>
          <w:sz w:val="20"/>
          <w:szCs w:val="20"/>
        </w:rPr>
        <w:lastRenderedPageBreak/>
        <w:t>přidané hodnoty,“</w:t>
      </w:r>
      <w:r w:rsidRPr="00DD0851">
        <w:rPr>
          <w:rFonts w:ascii="Tahoma" w:hAnsi="Tahoma" w:cs="Tahoma"/>
          <w:sz w:val="20"/>
          <w:szCs w:val="20"/>
        </w:rPr>
        <w:t xml:space="preserve"> upozorňuje na další výzvy </w:t>
      </w:r>
      <w:r w:rsidRPr="00DD0851">
        <w:rPr>
          <w:rFonts w:ascii="Tahoma" w:hAnsi="Tahoma" w:cs="Tahoma"/>
          <w:b/>
          <w:bCs/>
          <w:sz w:val="20"/>
          <w:szCs w:val="20"/>
        </w:rPr>
        <w:t>Klára Sobotková, místopředsedkyně Řídícího výboru Sdružení pro zahraniční investice – AFI</w:t>
      </w:r>
      <w:r w:rsidRPr="00DD0851">
        <w:rPr>
          <w:rFonts w:ascii="Tahoma" w:hAnsi="Tahoma" w:cs="Tahoma"/>
          <w:sz w:val="20"/>
          <w:szCs w:val="20"/>
        </w:rPr>
        <w:t>.</w:t>
      </w:r>
    </w:p>
    <w:p w14:paraId="43C64158" w14:textId="144A8591" w:rsidR="00CA19FC" w:rsidRPr="00DD0851" w:rsidRDefault="00CA19FC" w:rsidP="00CA19FC">
      <w:pPr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sz w:val="20"/>
          <w:szCs w:val="20"/>
        </w:rPr>
        <w:t xml:space="preserve">Vláda by také měla maximálně zjednodušit a zrychlit proces zaměstnávání cizinců a současně flexibilněji pracovat s kvótami pro vybrané země tak, aby odpovídaly požadavkům jednotlivých odvětví. </w:t>
      </w:r>
      <w:r w:rsidRPr="00DD0851">
        <w:rPr>
          <w:rFonts w:ascii="Tahoma" w:hAnsi="Tahoma" w:cs="Tahoma"/>
          <w:i/>
          <w:iCs/>
          <w:sz w:val="20"/>
          <w:szCs w:val="20"/>
        </w:rPr>
        <w:t>„Tuzemský průmysl nadále brzdí tisíce neobsazených pracovních míst, na které nejsou zaměstnavatelé schopni získat zaměstnance s vhodnou kvalifikací. Řešením je více otevřít trh práce zahraničním zaměstnancům. Pomohla by i větší otevřenost našich univerzit k</w:t>
      </w:r>
      <w:r w:rsidRPr="00DD0851">
        <w:rPr>
          <w:rFonts w:ascii="Tahoma" w:hAnsi="Tahoma" w:cs="Tahoma"/>
          <w:i/>
          <w:iCs/>
          <w:sz w:val="20"/>
          <w:szCs w:val="20"/>
        </w:rPr>
        <w:t> </w:t>
      </w:r>
      <w:r w:rsidRPr="00DD0851">
        <w:rPr>
          <w:rFonts w:ascii="Tahoma" w:hAnsi="Tahoma" w:cs="Tahoma"/>
          <w:i/>
          <w:iCs/>
          <w:sz w:val="20"/>
          <w:szCs w:val="20"/>
        </w:rPr>
        <w:t>zahraničním studentům, včetně nastavení systému, který bude tyto studenty motivovat, aby v Česku po skončení studia nastoupili do zaměstnání,“</w:t>
      </w:r>
      <w:r w:rsidRPr="00DD0851">
        <w:rPr>
          <w:rFonts w:ascii="Tahoma" w:hAnsi="Tahoma" w:cs="Tahoma"/>
          <w:sz w:val="20"/>
          <w:szCs w:val="20"/>
        </w:rPr>
        <w:t xml:space="preserve"> říká </w:t>
      </w:r>
      <w:r w:rsidRPr="00DD0851">
        <w:rPr>
          <w:rFonts w:ascii="Tahoma" w:hAnsi="Tahoma" w:cs="Tahoma"/>
          <w:b/>
          <w:bCs/>
          <w:sz w:val="20"/>
          <w:szCs w:val="20"/>
        </w:rPr>
        <w:t xml:space="preserve">Zdeněk </w:t>
      </w:r>
      <w:proofErr w:type="spellStart"/>
      <w:r w:rsidRPr="00DD0851">
        <w:rPr>
          <w:rFonts w:ascii="Tahoma" w:hAnsi="Tahoma" w:cs="Tahoma"/>
          <w:b/>
          <w:bCs/>
          <w:sz w:val="20"/>
          <w:szCs w:val="20"/>
        </w:rPr>
        <w:t>Petzl</w:t>
      </w:r>
      <w:proofErr w:type="spellEnd"/>
      <w:r w:rsidRPr="00DD0851">
        <w:rPr>
          <w:rFonts w:ascii="Tahoma" w:hAnsi="Tahoma" w:cs="Tahoma"/>
          <w:b/>
          <w:bCs/>
          <w:sz w:val="20"/>
          <w:szCs w:val="20"/>
        </w:rPr>
        <w:t>, výkonný ředitel Sdružení automobilového průmyslu</w:t>
      </w:r>
      <w:r w:rsidRPr="00DD0851">
        <w:rPr>
          <w:rFonts w:ascii="Tahoma" w:hAnsi="Tahoma" w:cs="Tahoma"/>
          <w:sz w:val="20"/>
          <w:szCs w:val="20"/>
        </w:rPr>
        <w:t>.</w:t>
      </w:r>
    </w:p>
    <w:p w14:paraId="644F885C" w14:textId="262A7656" w:rsidR="00CA19FC" w:rsidRPr="00DD0851" w:rsidRDefault="00CA19FC" w:rsidP="00CA19FC">
      <w:pPr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sz w:val="20"/>
          <w:szCs w:val="20"/>
        </w:rPr>
        <w:t>Prioritou pro stát by se mělo stát také zmapování ložisek a obnova těžby kovů, nerostů a materiálů pro stavebnictví šetrnou formou, přímo napojená na jejich zpracování v Česku. Energetika a teplárenství pak musí přejít co nejrychleji na nízkoemisní zdroje, tedy na obnovitelné zdroje energie, a pokračovat v</w:t>
      </w:r>
      <w:r w:rsidR="00DD0851">
        <w:rPr>
          <w:rFonts w:ascii="Tahoma" w:hAnsi="Tahoma" w:cs="Tahoma"/>
          <w:sz w:val="20"/>
          <w:szCs w:val="20"/>
        </w:rPr>
        <w:t> </w:t>
      </w:r>
      <w:r w:rsidRPr="00DD0851">
        <w:rPr>
          <w:rFonts w:ascii="Tahoma" w:hAnsi="Tahoma" w:cs="Tahoma"/>
          <w:sz w:val="20"/>
          <w:szCs w:val="20"/>
        </w:rPr>
        <w:t xml:space="preserve">rozvoji jaderné energetiky. </w:t>
      </w:r>
    </w:p>
    <w:p w14:paraId="22C0582B" w14:textId="1C11877D" w:rsidR="00CA19FC" w:rsidRPr="00DD0851" w:rsidRDefault="00CA19FC" w:rsidP="00CA19FC">
      <w:pPr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sz w:val="20"/>
          <w:szCs w:val="20"/>
        </w:rPr>
        <w:t xml:space="preserve">Energetika se ukazuje jako klíčový faktor pro budoucí rozvoj průmyslové soběstačnosti a konkurenceschopnosti ČR, přičemž zejména cena a dostupnost energií budou rozhodující pro rozvoj zpracovatelského průmyslu. Ten se v důsledku transformace, automatizace a digitalizace stává energeticky náročnějším. „Investice do jaderné energetiky, modulárních reaktorů, rychlý rozvoj obnovitelných zdrojů a modernizace energetické infrastruktury jsou nezbytné pro zajištění konkurenceschopnosti v klíčových odvětvích a pro snížení závislosti na fosilních palivech, což je zásadní nejen pro ekonomickou bezpečnost, ale i pro udržitelný růst České republiky,“ uzavírá </w:t>
      </w:r>
      <w:r w:rsidRPr="00DD0851">
        <w:rPr>
          <w:rFonts w:ascii="Tahoma" w:hAnsi="Tahoma" w:cs="Tahoma"/>
          <w:b/>
          <w:bCs/>
          <w:sz w:val="20"/>
          <w:szCs w:val="20"/>
        </w:rPr>
        <w:t>Zdeněk Dušek, partner, EY Česká republika</w:t>
      </w:r>
      <w:r w:rsidRPr="00DD0851">
        <w:rPr>
          <w:rFonts w:ascii="Tahoma" w:hAnsi="Tahoma" w:cs="Tahoma"/>
          <w:sz w:val="20"/>
          <w:szCs w:val="20"/>
        </w:rPr>
        <w:t>.</w:t>
      </w:r>
    </w:p>
    <w:p w14:paraId="4FBC8D7C" w14:textId="77777777" w:rsidR="00CD1E8E" w:rsidRDefault="00CD1E8E" w:rsidP="00CA19FC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0F2ECC43" w14:textId="77609838" w:rsidR="00943586" w:rsidRPr="00DD0851" w:rsidRDefault="003E50DC" w:rsidP="00CA19FC">
      <w:pPr>
        <w:spacing w:before="120"/>
        <w:jc w:val="both"/>
        <w:rPr>
          <w:rFonts w:ascii="Tahoma" w:hAnsi="Tahoma" w:cs="Tahoma"/>
          <w:sz w:val="20"/>
          <w:szCs w:val="20"/>
          <w:u w:val="single"/>
        </w:rPr>
      </w:pPr>
      <w:r w:rsidRPr="00DD0851">
        <w:rPr>
          <w:rFonts w:ascii="Tahoma" w:hAnsi="Tahoma" w:cs="Tahoma"/>
          <w:sz w:val="20"/>
          <w:szCs w:val="20"/>
          <w:highlight w:val="white"/>
          <w:u w:val="single"/>
        </w:rPr>
        <w:t>K</w:t>
      </w:r>
      <w:r w:rsidR="00943586" w:rsidRPr="00DD0851">
        <w:rPr>
          <w:rFonts w:ascii="Tahoma" w:hAnsi="Tahoma" w:cs="Tahoma"/>
          <w:sz w:val="20"/>
          <w:szCs w:val="20"/>
          <w:highlight w:val="white"/>
          <w:u w:val="single"/>
        </w:rPr>
        <w:t xml:space="preserve">ontakt: </w:t>
      </w:r>
    </w:p>
    <w:p w14:paraId="7BA2DB9F" w14:textId="4637B3D7" w:rsidR="00960E76" w:rsidRDefault="00F75A0F" w:rsidP="00CA19F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D0851">
        <w:rPr>
          <w:rFonts w:ascii="Tahoma" w:hAnsi="Tahoma" w:cs="Tahoma"/>
          <w:sz w:val="20"/>
          <w:szCs w:val="20"/>
          <w:highlight w:val="white"/>
        </w:rPr>
        <w:t>Stanislava</w:t>
      </w:r>
      <w:r w:rsidR="00F562D1" w:rsidRPr="00DD0851">
        <w:rPr>
          <w:rFonts w:ascii="Tahoma" w:hAnsi="Tahoma" w:cs="Tahoma"/>
          <w:sz w:val="20"/>
          <w:szCs w:val="20"/>
          <w:highlight w:val="white"/>
        </w:rPr>
        <w:t xml:space="preserve"> </w:t>
      </w:r>
      <w:r w:rsidRPr="00DD0851">
        <w:rPr>
          <w:rFonts w:ascii="Tahoma" w:hAnsi="Tahoma" w:cs="Tahoma"/>
          <w:sz w:val="20"/>
          <w:szCs w:val="20"/>
          <w:highlight w:val="white"/>
        </w:rPr>
        <w:t>Šremrová</w:t>
      </w:r>
      <w:r w:rsidR="00960E76" w:rsidRPr="00DD0851">
        <w:rPr>
          <w:rFonts w:ascii="Tahoma" w:hAnsi="Tahoma" w:cs="Tahoma"/>
          <w:sz w:val="20"/>
          <w:szCs w:val="20"/>
          <w:highlight w:val="white"/>
        </w:rPr>
        <w:t xml:space="preserve">, PR </w:t>
      </w:r>
      <w:r w:rsidR="00B81730" w:rsidRPr="00DD0851">
        <w:rPr>
          <w:rFonts w:ascii="Tahoma" w:hAnsi="Tahoma" w:cs="Tahoma"/>
          <w:sz w:val="20"/>
          <w:szCs w:val="20"/>
          <w:highlight w:val="white"/>
        </w:rPr>
        <w:t xml:space="preserve">Manager, </w:t>
      </w:r>
      <w:r w:rsidRPr="00DD0851">
        <w:rPr>
          <w:rFonts w:ascii="Tahoma" w:hAnsi="Tahoma" w:cs="Tahoma"/>
          <w:sz w:val="20"/>
          <w:szCs w:val="20"/>
          <w:highlight w:val="white"/>
        </w:rPr>
        <w:t>stanislava</w:t>
      </w:r>
      <w:r w:rsidR="00B81730" w:rsidRPr="00DD0851">
        <w:rPr>
          <w:rFonts w:ascii="Tahoma" w:hAnsi="Tahoma" w:cs="Tahoma"/>
          <w:sz w:val="20"/>
          <w:szCs w:val="20"/>
          <w:highlight w:val="white"/>
        </w:rPr>
        <w:t>.</w:t>
      </w:r>
      <w:r w:rsidRPr="00DD0851">
        <w:rPr>
          <w:rFonts w:ascii="Tahoma" w:hAnsi="Tahoma" w:cs="Tahoma"/>
          <w:sz w:val="20"/>
          <w:szCs w:val="20"/>
          <w:highlight w:val="white"/>
        </w:rPr>
        <w:t>sremrova</w:t>
      </w:r>
      <w:r w:rsidR="00B81730" w:rsidRPr="00DD0851">
        <w:rPr>
          <w:rFonts w:ascii="Tahoma" w:hAnsi="Tahoma" w:cs="Tahoma"/>
          <w:sz w:val="20"/>
          <w:szCs w:val="20"/>
          <w:highlight w:val="white"/>
        </w:rPr>
        <w:t>@afi.cz</w:t>
      </w:r>
      <w:r w:rsidR="00960E76" w:rsidRPr="00DD0851">
        <w:rPr>
          <w:rFonts w:ascii="Tahoma" w:hAnsi="Tahoma" w:cs="Tahoma"/>
          <w:sz w:val="20"/>
          <w:szCs w:val="20"/>
          <w:highlight w:val="white"/>
        </w:rPr>
        <w:t xml:space="preserve">, </w:t>
      </w:r>
      <w:r w:rsidRPr="00DD0851">
        <w:rPr>
          <w:rFonts w:ascii="Tahoma" w:hAnsi="Tahoma" w:cs="Tahoma"/>
          <w:sz w:val="20"/>
          <w:szCs w:val="20"/>
        </w:rPr>
        <w:t>777 075</w:t>
      </w:r>
      <w:r w:rsidR="00DD0851">
        <w:rPr>
          <w:rFonts w:ascii="Tahoma" w:hAnsi="Tahoma" w:cs="Tahoma"/>
          <w:sz w:val="20"/>
          <w:szCs w:val="20"/>
        </w:rPr>
        <w:t> </w:t>
      </w:r>
      <w:r w:rsidRPr="00DD0851">
        <w:rPr>
          <w:rFonts w:ascii="Tahoma" w:hAnsi="Tahoma" w:cs="Tahoma"/>
          <w:sz w:val="20"/>
          <w:szCs w:val="20"/>
        </w:rPr>
        <w:t>050</w:t>
      </w:r>
    </w:p>
    <w:p w14:paraId="1BFB53B2" w14:textId="77777777" w:rsidR="00DD0851" w:rsidRPr="00DD0851" w:rsidRDefault="00DD0851" w:rsidP="00CA19FC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115EE1C3" w14:textId="5AFE7AAA" w:rsidR="00943586" w:rsidRPr="003E50DC" w:rsidRDefault="00943586" w:rsidP="00CA19FC">
      <w:pPr>
        <w:jc w:val="both"/>
        <w:rPr>
          <w:rFonts w:ascii="Tahoma" w:hAnsi="Tahoma" w:cs="Tahoma"/>
          <w:sz w:val="16"/>
          <w:szCs w:val="16"/>
          <w:u w:val="single"/>
        </w:rPr>
      </w:pPr>
      <w:r w:rsidRPr="003E50DC">
        <w:rPr>
          <w:rFonts w:ascii="Tahoma" w:hAnsi="Tahoma" w:cs="Tahoma"/>
          <w:sz w:val="16"/>
          <w:szCs w:val="16"/>
          <w:u w:val="single"/>
        </w:rPr>
        <w:t xml:space="preserve">O Sdružení pro zahraniční </w:t>
      </w:r>
      <w:r w:rsidR="00B81730" w:rsidRPr="003E50DC">
        <w:rPr>
          <w:rFonts w:ascii="Tahoma" w:hAnsi="Tahoma" w:cs="Tahoma"/>
          <w:sz w:val="16"/>
          <w:szCs w:val="16"/>
          <w:u w:val="single"/>
        </w:rPr>
        <w:t>investice – AFI</w:t>
      </w:r>
    </w:p>
    <w:p w14:paraId="0007AAE5" w14:textId="6A449E23" w:rsidR="00943586" w:rsidRDefault="00943586" w:rsidP="00CA19FC">
      <w:pPr>
        <w:jc w:val="both"/>
        <w:rPr>
          <w:rFonts w:ascii="Tahoma" w:hAnsi="Tahoma" w:cs="Tahoma"/>
          <w:sz w:val="16"/>
          <w:szCs w:val="16"/>
        </w:rPr>
      </w:pPr>
      <w:r w:rsidRPr="003E50DC">
        <w:rPr>
          <w:rFonts w:ascii="Tahoma" w:hAnsi="Tahoma" w:cs="Tahoma"/>
          <w:sz w:val="16"/>
          <w:szCs w:val="16"/>
        </w:rPr>
        <w:t xml:space="preserve">Sdružení AFI je organizace pro komplexní podporu investic a investorů v České republice. Vzniklo v roce 1996 jako platforma pro spolupráci veřejného a soukromého sektoru s cílem kontinuálně zlepšovat české investiční prostředí, podmínky pro investory, legislativu a komunikaci a výměnu informací. AFI sdružuje </w:t>
      </w:r>
      <w:r w:rsidR="00F75A0F">
        <w:rPr>
          <w:rFonts w:ascii="Tahoma" w:hAnsi="Tahoma" w:cs="Tahoma"/>
          <w:sz w:val="16"/>
          <w:szCs w:val="16"/>
        </w:rPr>
        <w:t>přes</w:t>
      </w:r>
      <w:r w:rsidRPr="003E50DC">
        <w:rPr>
          <w:rFonts w:ascii="Tahoma" w:hAnsi="Tahoma" w:cs="Tahoma"/>
          <w:sz w:val="16"/>
          <w:szCs w:val="16"/>
        </w:rPr>
        <w:t xml:space="preserve"> 40 špičkových firem podporujících prémiové investice, které mají dlouholetou historii v pomoci všem typům nově příchozích investorů na český trh. Tuzemští investoři, od největších globálních značek až po středně velké české firmy s českými vlastníky, se objevují na radaru </w:t>
      </w:r>
      <w:r w:rsidR="00B81730" w:rsidRPr="003E50DC">
        <w:rPr>
          <w:rFonts w:ascii="Tahoma" w:hAnsi="Tahoma" w:cs="Tahoma"/>
          <w:sz w:val="16"/>
          <w:szCs w:val="16"/>
        </w:rPr>
        <w:t>neustále – od</w:t>
      </w:r>
      <w:r w:rsidRPr="003E50DC">
        <w:rPr>
          <w:rFonts w:ascii="Tahoma" w:hAnsi="Tahoma" w:cs="Tahoma"/>
          <w:sz w:val="16"/>
          <w:szCs w:val="16"/>
        </w:rPr>
        <w:t xml:space="preserve"> vstupu do EU přes ekonomickou krizi 2008 až po pandemii COVID. </w:t>
      </w:r>
      <w:r w:rsidR="00F75A0F">
        <w:rPr>
          <w:rFonts w:ascii="Tahoma" w:hAnsi="Tahoma" w:cs="Tahoma"/>
          <w:sz w:val="16"/>
          <w:szCs w:val="16"/>
        </w:rPr>
        <w:t xml:space="preserve">Sdružení </w:t>
      </w:r>
      <w:r w:rsidRPr="003E50DC">
        <w:rPr>
          <w:rFonts w:ascii="Tahoma" w:hAnsi="Tahoma" w:cs="Tahoma"/>
          <w:sz w:val="16"/>
          <w:szCs w:val="16"/>
        </w:rPr>
        <w:t>AFI zprostředkova</w:t>
      </w:r>
      <w:r w:rsidR="00F75A0F">
        <w:rPr>
          <w:rFonts w:ascii="Tahoma" w:hAnsi="Tahoma" w:cs="Tahoma"/>
          <w:sz w:val="16"/>
          <w:szCs w:val="16"/>
        </w:rPr>
        <w:t>lo</w:t>
      </w:r>
      <w:r w:rsidRPr="003E50DC">
        <w:rPr>
          <w:rFonts w:ascii="Tahoma" w:hAnsi="Tahoma" w:cs="Tahoma"/>
          <w:sz w:val="16"/>
          <w:szCs w:val="16"/>
        </w:rPr>
        <w:t xml:space="preserve"> řadu klíčových zahraničních investic, patří mezi ně například firmy Honeywell, Toyota, Johnson Controls, NEXEN </w:t>
      </w:r>
      <w:proofErr w:type="spellStart"/>
      <w:r w:rsidRPr="003E50DC">
        <w:rPr>
          <w:rFonts w:ascii="Tahoma" w:hAnsi="Tahoma" w:cs="Tahoma"/>
          <w:sz w:val="16"/>
          <w:szCs w:val="16"/>
        </w:rPr>
        <w:t>Tire</w:t>
      </w:r>
      <w:proofErr w:type="spellEnd"/>
      <w:r w:rsidRPr="003E50DC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3E50DC">
        <w:rPr>
          <w:rFonts w:ascii="Tahoma" w:hAnsi="Tahoma" w:cs="Tahoma"/>
          <w:sz w:val="16"/>
          <w:szCs w:val="16"/>
        </w:rPr>
        <w:t>Denso</w:t>
      </w:r>
      <w:proofErr w:type="spellEnd"/>
      <w:r w:rsidRPr="003E50DC">
        <w:rPr>
          <w:rFonts w:ascii="Tahoma" w:hAnsi="Tahoma" w:cs="Tahoma"/>
          <w:sz w:val="16"/>
          <w:szCs w:val="16"/>
        </w:rPr>
        <w:t xml:space="preserve">, Yankee </w:t>
      </w:r>
      <w:proofErr w:type="spellStart"/>
      <w:r w:rsidRPr="003E50DC">
        <w:rPr>
          <w:rFonts w:ascii="Tahoma" w:hAnsi="Tahoma" w:cs="Tahoma"/>
          <w:sz w:val="16"/>
          <w:szCs w:val="16"/>
        </w:rPr>
        <w:t>Candle</w:t>
      </w:r>
      <w:proofErr w:type="spellEnd"/>
      <w:r w:rsidRPr="003E50DC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3E50DC">
        <w:rPr>
          <w:rFonts w:ascii="Tahoma" w:hAnsi="Tahoma" w:cs="Tahoma"/>
          <w:sz w:val="16"/>
          <w:szCs w:val="16"/>
        </w:rPr>
        <w:t>Canpack</w:t>
      </w:r>
      <w:proofErr w:type="spellEnd"/>
      <w:r w:rsidRPr="003E50DC">
        <w:rPr>
          <w:rFonts w:ascii="Tahoma" w:hAnsi="Tahoma" w:cs="Tahoma"/>
          <w:sz w:val="16"/>
          <w:szCs w:val="16"/>
        </w:rPr>
        <w:t xml:space="preserve"> a A123.</w:t>
      </w:r>
    </w:p>
    <w:p w14:paraId="170801FA" w14:textId="77777777" w:rsidR="003E50DC" w:rsidRPr="003E50DC" w:rsidRDefault="003E50DC" w:rsidP="00CA19FC">
      <w:pPr>
        <w:jc w:val="both"/>
        <w:rPr>
          <w:rFonts w:ascii="Tahoma" w:hAnsi="Tahoma" w:cs="Tahoma"/>
          <w:sz w:val="16"/>
          <w:szCs w:val="16"/>
        </w:rPr>
      </w:pPr>
    </w:p>
    <w:p w14:paraId="4133B762" w14:textId="77777777" w:rsidR="00943586" w:rsidRPr="003E50DC" w:rsidRDefault="00943586" w:rsidP="00CA19FC">
      <w:pPr>
        <w:jc w:val="both"/>
        <w:rPr>
          <w:rFonts w:ascii="Tahoma" w:hAnsi="Tahoma" w:cs="Tahoma"/>
          <w:sz w:val="16"/>
          <w:szCs w:val="16"/>
          <w:u w:val="single"/>
        </w:rPr>
      </w:pPr>
      <w:r w:rsidRPr="003E50DC">
        <w:rPr>
          <w:rFonts w:ascii="Tahoma" w:hAnsi="Tahoma" w:cs="Tahoma"/>
          <w:sz w:val="16"/>
          <w:szCs w:val="16"/>
          <w:u w:val="single"/>
        </w:rPr>
        <w:t>Czechbusinessguide.com - ojedinělý průvodce pro zahraniční investory</w:t>
      </w:r>
    </w:p>
    <w:p w14:paraId="5F21FE61" w14:textId="324F1F5F" w:rsidR="009C1867" w:rsidRPr="003E50DC" w:rsidRDefault="00943586" w:rsidP="00CA19FC">
      <w:pPr>
        <w:jc w:val="both"/>
        <w:rPr>
          <w:rFonts w:ascii="Tahoma" w:hAnsi="Tahoma" w:cs="Tahoma"/>
          <w:sz w:val="16"/>
          <w:szCs w:val="16"/>
        </w:rPr>
      </w:pPr>
      <w:r w:rsidRPr="003E50DC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hidden="0" allowOverlap="1" wp14:anchorId="71A07413" wp14:editId="4B670BAF">
            <wp:simplePos x="0" y="0"/>
            <wp:positionH relativeFrom="margin">
              <wp:posOffset>0</wp:posOffset>
            </wp:positionH>
            <wp:positionV relativeFrom="paragraph">
              <wp:posOffset>85725</wp:posOffset>
            </wp:positionV>
            <wp:extent cx="708660" cy="464820"/>
            <wp:effectExtent l="0" t="0" r="2540" b="5080"/>
            <wp:wrapSquare wrapText="bothSides" distT="0" distB="0" distL="114300" distR="114300"/>
            <wp:docPr id="7" name="image3.jp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Obsah obrázku text&#10;&#10;Popis byl vytvořen automatick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46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0DC">
        <w:rPr>
          <w:rFonts w:ascii="Tahoma" w:hAnsi="Tahoma" w:cs="Tahoma"/>
          <w:sz w:val="16"/>
          <w:szCs w:val="16"/>
        </w:rPr>
        <w:t xml:space="preserve">Jednou z nejdůležitějších rolí AFI je být prvním kontaktním místem pro zahraniční investory, poskytovat jim pomoc s navigací a procesy při rozhodování pro jakékoli zahraniční příchozí podnikání. Pro tento účel AFI vytvořilo v tuzemsku ojedinělý informační web CzechBusinessGuide.com a tištěnou publikaci Business </w:t>
      </w:r>
      <w:proofErr w:type="spellStart"/>
      <w:r w:rsidRPr="003E50DC">
        <w:rPr>
          <w:rFonts w:ascii="Tahoma" w:hAnsi="Tahoma" w:cs="Tahoma"/>
          <w:sz w:val="16"/>
          <w:szCs w:val="16"/>
        </w:rPr>
        <w:t>Guidebook</w:t>
      </w:r>
      <w:proofErr w:type="spellEnd"/>
      <w:r w:rsidRPr="003E50DC">
        <w:rPr>
          <w:rFonts w:ascii="Tahoma" w:hAnsi="Tahoma" w:cs="Tahoma"/>
          <w:sz w:val="16"/>
          <w:szCs w:val="16"/>
        </w:rPr>
        <w:t>. Touto cestou AFI představuje Českou republiku komplexně ve všech makroekonomických ohledech a poskytuje nově příchozím investorům všestranné informace o investování v ČR.</w:t>
      </w:r>
    </w:p>
    <w:sectPr w:rsidR="009C1867" w:rsidRPr="003E50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3076" w14:textId="77777777" w:rsidR="003F1C23" w:rsidRDefault="003F1C23" w:rsidP="00943586">
      <w:pPr>
        <w:spacing w:after="0" w:line="240" w:lineRule="auto"/>
      </w:pPr>
      <w:r>
        <w:separator/>
      </w:r>
    </w:p>
  </w:endnote>
  <w:endnote w:type="continuationSeparator" w:id="0">
    <w:p w14:paraId="0A57FE1B" w14:textId="77777777" w:rsidR="003F1C23" w:rsidRDefault="003F1C23" w:rsidP="0094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47C9" w14:textId="77777777" w:rsidR="003F1C23" w:rsidRDefault="003F1C23" w:rsidP="00943586">
      <w:pPr>
        <w:spacing w:after="0" w:line="240" w:lineRule="auto"/>
      </w:pPr>
      <w:r>
        <w:separator/>
      </w:r>
    </w:p>
  </w:footnote>
  <w:footnote w:type="continuationSeparator" w:id="0">
    <w:p w14:paraId="3FC75E36" w14:textId="77777777" w:rsidR="003F1C23" w:rsidRDefault="003F1C23" w:rsidP="0094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931" w14:textId="02BEA2D4" w:rsidR="00943586" w:rsidRDefault="00943586" w:rsidP="00943586">
    <w:pPr>
      <w:pStyle w:val="Zhlav"/>
      <w:tabs>
        <w:tab w:val="clear" w:pos="4536"/>
        <w:tab w:val="clear" w:pos="9072"/>
        <w:tab w:val="left" w:pos="848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D98891F" wp14:editId="25859FE6">
          <wp:simplePos x="0" y="0"/>
          <wp:positionH relativeFrom="margin">
            <wp:posOffset>-133350</wp:posOffset>
          </wp:positionH>
          <wp:positionV relativeFrom="paragraph">
            <wp:posOffset>-251460</wp:posOffset>
          </wp:positionV>
          <wp:extent cx="695960" cy="695960"/>
          <wp:effectExtent l="0" t="0" r="0" b="0"/>
          <wp:wrapSquare wrapText="bothSides"/>
          <wp:docPr id="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1889"/>
    <w:multiLevelType w:val="hybridMultilevel"/>
    <w:tmpl w:val="C7268C1C"/>
    <w:lvl w:ilvl="0" w:tplc="2682AD6E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534D5"/>
    <w:multiLevelType w:val="hybridMultilevel"/>
    <w:tmpl w:val="06DEAD5C"/>
    <w:lvl w:ilvl="0" w:tplc="1658A1C2">
      <w:start w:val="6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D608A"/>
    <w:multiLevelType w:val="hybridMultilevel"/>
    <w:tmpl w:val="7CE869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84886">
    <w:abstractNumId w:val="2"/>
  </w:num>
  <w:num w:numId="2" w16cid:durableId="712392146">
    <w:abstractNumId w:val="1"/>
  </w:num>
  <w:num w:numId="3" w16cid:durableId="142726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79"/>
    <w:rsid w:val="000040D6"/>
    <w:rsid w:val="0001264E"/>
    <w:rsid w:val="00021209"/>
    <w:rsid w:val="00021573"/>
    <w:rsid w:val="00022240"/>
    <w:rsid w:val="000230B7"/>
    <w:rsid w:val="000231EF"/>
    <w:rsid w:val="0003423A"/>
    <w:rsid w:val="00035F3A"/>
    <w:rsid w:val="00051C4D"/>
    <w:rsid w:val="00053CBA"/>
    <w:rsid w:val="00066CCF"/>
    <w:rsid w:val="00074B9A"/>
    <w:rsid w:val="0008600A"/>
    <w:rsid w:val="000861C7"/>
    <w:rsid w:val="000A3F9A"/>
    <w:rsid w:val="000C3F8A"/>
    <w:rsid w:val="000C473C"/>
    <w:rsid w:val="000D0C9E"/>
    <w:rsid w:val="000E2D5D"/>
    <w:rsid w:val="000E75C6"/>
    <w:rsid w:val="000F7708"/>
    <w:rsid w:val="0010711A"/>
    <w:rsid w:val="00107611"/>
    <w:rsid w:val="001161DE"/>
    <w:rsid w:val="00121FE2"/>
    <w:rsid w:val="00141142"/>
    <w:rsid w:val="0014688A"/>
    <w:rsid w:val="001472B7"/>
    <w:rsid w:val="0015298F"/>
    <w:rsid w:val="0015635C"/>
    <w:rsid w:val="00186025"/>
    <w:rsid w:val="00190430"/>
    <w:rsid w:val="001B3947"/>
    <w:rsid w:val="001C4ED5"/>
    <w:rsid w:val="001D1BD2"/>
    <w:rsid w:val="001E11FD"/>
    <w:rsid w:val="001E1E82"/>
    <w:rsid w:val="001E6877"/>
    <w:rsid w:val="001F19C9"/>
    <w:rsid w:val="00216CD8"/>
    <w:rsid w:val="00230798"/>
    <w:rsid w:val="00231F34"/>
    <w:rsid w:val="002D4F8A"/>
    <w:rsid w:val="002D6AF7"/>
    <w:rsid w:val="002F3B25"/>
    <w:rsid w:val="002F506F"/>
    <w:rsid w:val="00302814"/>
    <w:rsid w:val="003062B5"/>
    <w:rsid w:val="00322F20"/>
    <w:rsid w:val="00325AB0"/>
    <w:rsid w:val="0034266F"/>
    <w:rsid w:val="00342F3E"/>
    <w:rsid w:val="003441CC"/>
    <w:rsid w:val="00360DEB"/>
    <w:rsid w:val="00360F05"/>
    <w:rsid w:val="0036215C"/>
    <w:rsid w:val="00373A18"/>
    <w:rsid w:val="003805C6"/>
    <w:rsid w:val="00391DDF"/>
    <w:rsid w:val="003A10FF"/>
    <w:rsid w:val="003B7628"/>
    <w:rsid w:val="003C1C72"/>
    <w:rsid w:val="003D1929"/>
    <w:rsid w:val="003D1BF5"/>
    <w:rsid w:val="003D7A5F"/>
    <w:rsid w:val="003E50DC"/>
    <w:rsid w:val="003F03C9"/>
    <w:rsid w:val="003F1B54"/>
    <w:rsid w:val="003F1C23"/>
    <w:rsid w:val="004242B2"/>
    <w:rsid w:val="00427F84"/>
    <w:rsid w:val="004306F7"/>
    <w:rsid w:val="00460A61"/>
    <w:rsid w:val="00461040"/>
    <w:rsid w:val="00463BEB"/>
    <w:rsid w:val="00464554"/>
    <w:rsid w:val="004659CC"/>
    <w:rsid w:val="00471534"/>
    <w:rsid w:val="00471733"/>
    <w:rsid w:val="004736B7"/>
    <w:rsid w:val="00482A1B"/>
    <w:rsid w:val="0049265C"/>
    <w:rsid w:val="004B76C3"/>
    <w:rsid w:val="004C34A4"/>
    <w:rsid w:val="004D099F"/>
    <w:rsid w:val="004F4979"/>
    <w:rsid w:val="0051793E"/>
    <w:rsid w:val="0052253F"/>
    <w:rsid w:val="0054173B"/>
    <w:rsid w:val="00541B02"/>
    <w:rsid w:val="00545030"/>
    <w:rsid w:val="00546731"/>
    <w:rsid w:val="005516E4"/>
    <w:rsid w:val="005629F9"/>
    <w:rsid w:val="00574F1E"/>
    <w:rsid w:val="00584B2D"/>
    <w:rsid w:val="005A1871"/>
    <w:rsid w:val="005B0FAD"/>
    <w:rsid w:val="005B5774"/>
    <w:rsid w:val="005B7279"/>
    <w:rsid w:val="005C130E"/>
    <w:rsid w:val="005F2B0D"/>
    <w:rsid w:val="005F33C0"/>
    <w:rsid w:val="00604376"/>
    <w:rsid w:val="006076ED"/>
    <w:rsid w:val="0061036D"/>
    <w:rsid w:val="006143C3"/>
    <w:rsid w:val="00627A0D"/>
    <w:rsid w:val="006759A5"/>
    <w:rsid w:val="006874A6"/>
    <w:rsid w:val="00690C01"/>
    <w:rsid w:val="00697782"/>
    <w:rsid w:val="006B5AA0"/>
    <w:rsid w:val="006B78BF"/>
    <w:rsid w:val="006C4242"/>
    <w:rsid w:val="006D5582"/>
    <w:rsid w:val="006E7874"/>
    <w:rsid w:val="006F3EF9"/>
    <w:rsid w:val="00701F7C"/>
    <w:rsid w:val="0070699F"/>
    <w:rsid w:val="007141E4"/>
    <w:rsid w:val="00731BBE"/>
    <w:rsid w:val="00734DCD"/>
    <w:rsid w:val="00741C91"/>
    <w:rsid w:val="00763055"/>
    <w:rsid w:val="00766358"/>
    <w:rsid w:val="007777E2"/>
    <w:rsid w:val="00781495"/>
    <w:rsid w:val="007828FA"/>
    <w:rsid w:val="00790E82"/>
    <w:rsid w:val="00794168"/>
    <w:rsid w:val="007A0A8E"/>
    <w:rsid w:val="007A38F1"/>
    <w:rsid w:val="007A6F43"/>
    <w:rsid w:val="007A710C"/>
    <w:rsid w:val="007C361A"/>
    <w:rsid w:val="007C4A1B"/>
    <w:rsid w:val="007D156B"/>
    <w:rsid w:val="007E59EF"/>
    <w:rsid w:val="008117D7"/>
    <w:rsid w:val="00817F10"/>
    <w:rsid w:val="00822A8A"/>
    <w:rsid w:val="00831038"/>
    <w:rsid w:val="00833456"/>
    <w:rsid w:val="00836F09"/>
    <w:rsid w:val="00842ACF"/>
    <w:rsid w:val="0085417B"/>
    <w:rsid w:val="00855E31"/>
    <w:rsid w:val="00862A96"/>
    <w:rsid w:val="00870D89"/>
    <w:rsid w:val="00876215"/>
    <w:rsid w:val="008A6340"/>
    <w:rsid w:val="008C0C09"/>
    <w:rsid w:val="008C46EB"/>
    <w:rsid w:val="008C56EE"/>
    <w:rsid w:val="008C6C87"/>
    <w:rsid w:val="008E241D"/>
    <w:rsid w:val="008E66C0"/>
    <w:rsid w:val="008F45BF"/>
    <w:rsid w:val="00902044"/>
    <w:rsid w:val="00931EBC"/>
    <w:rsid w:val="0093340C"/>
    <w:rsid w:val="00943586"/>
    <w:rsid w:val="00960E76"/>
    <w:rsid w:val="009705F3"/>
    <w:rsid w:val="00972ED5"/>
    <w:rsid w:val="00976AE2"/>
    <w:rsid w:val="00980333"/>
    <w:rsid w:val="00985843"/>
    <w:rsid w:val="009932E4"/>
    <w:rsid w:val="00993B9B"/>
    <w:rsid w:val="009A607F"/>
    <w:rsid w:val="009A710D"/>
    <w:rsid w:val="009B7AD5"/>
    <w:rsid w:val="009C1867"/>
    <w:rsid w:val="009C3D23"/>
    <w:rsid w:val="009D5CC7"/>
    <w:rsid w:val="009F108A"/>
    <w:rsid w:val="00A00E4B"/>
    <w:rsid w:val="00A010EF"/>
    <w:rsid w:val="00A06279"/>
    <w:rsid w:val="00A129D6"/>
    <w:rsid w:val="00A364E0"/>
    <w:rsid w:val="00A433A8"/>
    <w:rsid w:val="00A46833"/>
    <w:rsid w:val="00A52365"/>
    <w:rsid w:val="00A56AAD"/>
    <w:rsid w:val="00A67082"/>
    <w:rsid w:val="00A75BD8"/>
    <w:rsid w:val="00A940B0"/>
    <w:rsid w:val="00AA0071"/>
    <w:rsid w:val="00AB04AF"/>
    <w:rsid w:val="00AB133D"/>
    <w:rsid w:val="00AD13EC"/>
    <w:rsid w:val="00AD66E0"/>
    <w:rsid w:val="00AF4785"/>
    <w:rsid w:val="00B10D65"/>
    <w:rsid w:val="00B11001"/>
    <w:rsid w:val="00B1386D"/>
    <w:rsid w:val="00B2579A"/>
    <w:rsid w:val="00B34988"/>
    <w:rsid w:val="00B437EF"/>
    <w:rsid w:val="00B55258"/>
    <w:rsid w:val="00B56671"/>
    <w:rsid w:val="00B56F2E"/>
    <w:rsid w:val="00B65790"/>
    <w:rsid w:val="00B65B9C"/>
    <w:rsid w:val="00B81730"/>
    <w:rsid w:val="00B86289"/>
    <w:rsid w:val="00BA04B4"/>
    <w:rsid w:val="00BA0F0E"/>
    <w:rsid w:val="00BA3B5B"/>
    <w:rsid w:val="00BA4985"/>
    <w:rsid w:val="00BC26E9"/>
    <w:rsid w:val="00BC73E8"/>
    <w:rsid w:val="00BF3762"/>
    <w:rsid w:val="00C001E1"/>
    <w:rsid w:val="00C0287D"/>
    <w:rsid w:val="00C0537D"/>
    <w:rsid w:val="00C22DE0"/>
    <w:rsid w:val="00C3024A"/>
    <w:rsid w:val="00C418E4"/>
    <w:rsid w:val="00C65363"/>
    <w:rsid w:val="00C81374"/>
    <w:rsid w:val="00C90388"/>
    <w:rsid w:val="00C93618"/>
    <w:rsid w:val="00CA19FC"/>
    <w:rsid w:val="00CA5D85"/>
    <w:rsid w:val="00CA7FA6"/>
    <w:rsid w:val="00CB0046"/>
    <w:rsid w:val="00CC2D92"/>
    <w:rsid w:val="00CC3ED7"/>
    <w:rsid w:val="00CD1E8E"/>
    <w:rsid w:val="00CE7053"/>
    <w:rsid w:val="00D077E6"/>
    <w:rsid w:val="00D13C36"/>
    <w:rsid w:val="00D26294"/>
    <w:rsid w:val="00D279CE"/>
    <w:rsid w:val="00D33ED6"/>
    <w:rsid w:val="00D50C19"/>
    <w:rsid w:val="00D51988"/>
    <w:rsid w:val="00D55029"/>
    <w:rsid w:val="00D8196E"/>
    <w:rsid w:val="00D86502"/>
    <w:rsid w:val="00D87BF5"/>
    <w:rsid w:val="00DA2867"/>
    <w:rsid w:val="00DA599B"/>
    <w:rsid w:val="00DB0A19"/>
    <w:rsid w:val="00DB4A72"/>
    <w:rsid w:val="00DB60D7"/>
    <w:rsid w:val="00DD0851"/>
    <w:rsid w:val="00DD2A98"/>
    <w:rsid w:val="00DD4E35"/>
    <w:rsid w:val="00DD5A4F"/>
    <w:rsid w:val="00DD5EEF"/>
    <w:rsid w:val="00DE6637"/>
    <w:rsid w:val="00DF7D6D"/>
    <w:rsid w:val="00E2061C"/>
    <w:rsid w:val="00E31DBC"/>
    <w:rsid w:val="00E46DA0"/>
    <w:rsid w:val="00E54200"/>
    <w:rsid w:val="00E54C09"/>
    <w:rsid w:val="00E75A2D"/>
    <w:rsid w:val="00E94E04"/>
    <w:rsid w:val="00EA2755"/>
    <w:rsid w:val="00EA57CB"/>
    <w:rsid w:val="00EA65AC"/>
    <w:rsid w:val="00EC33C8"/>
    <w:rsid w:val="00EC3BEC"/>
    <w:rsid w:val="00EC5134"/>
    <w:rsid w:val="00EE061E"/>
    <w:rsid w:val="00EF2978"/>
    <w:rsid w:val="00F042D4"/>
    <w:rsid w:val="00F211DD"/>
    <w:rsid w:val="00F2188D"/>
    <w:rsid w:val="00F35963"/>
    <w:rsid w:val="00F4306A"/>
    <w:rsid w:val="00F562D1"/>
    <w:rsid w:val="00F64DD3"/>
    <w:rsid w:val="00F75A0F"/>
    <w:rsid w:val="00F91C5C"/>
    <w:rsid w:val="00FB05DA"/>
    <w:rsid w:val="00FB2D21"/>
    <w:rsid w:val="00FD64FD"/>
    <w:rsid w:val="00FE551C"/>
    <w:rsid w:val="00FF0012"/>
    <w:rsid w:val="00FF0EE4"/>
    <w:rsid w:val="00FF7282"/>
    <w:rsid w:val="0761C2AE"/>
    <w:rsid w:val="07A585B1"/>
    <w:rsid w:val="09F25221"/>
    <w:rsid w:val="0A996370"/>
    <w:rsid w:val="0C77E569"/>
    <w:rsid w:val="0D189DC4"/>
    <w:rsid w:val="1EE1DB5B"/>
    <w:rsid w:val="2B4C2F9F"/>
    <w:rsid w:val="33B34505"/>
    <w:rsid w:val="34020997"/>
    <w:rsid w:val="44603B66"/>
    <w:rsid w:val="4808A95B"/>
    <w:rsid w:val="5AC9009E"/>
    <w:rsid w:val="60F891A4"/>
    <w:rsid w:val="699EB43E"/>
    <w:rsid w:val="6B7315C4"/>
    <w:rsid w:val="6C09A485"/>
    <w:rsid w:val="6C8129C3"/>
    <w:rsid w:val="7001C2C9"/>
    <w:rsid w:val="77386541"/>
    <w:rsid w:val="774E789B"/>
    <w:rsid w:val="7E7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42C8E"/>
  <w15:chartTrackingRefBased/>
  <w15:docId w15:val="{C2799311-1F72-469F-979A-B59ACBE6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D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79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93E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F506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506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4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586"/>
  </w:style>
  <w:style w:type="paragraph" w:styleId="Zpat">
    <w:name w:val="footer"/>
    <w:basedOn w:val="Normln"/>
    <w:link w:val="ZpatChar"/>
    <w:uiPriority w:val="99"/>
    <w:unhideWhenUsed/>
    <w:rsid w:val="0094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586"/>
  </w:style>
  <w:style w:type="paragraph" w:styleId="Normlnweb">
    <w:name w:val="Normal (Web)"/>
    <w:basedOn w:val="Normln"/>
    <w:uiPriority w:val="99"/>
    <w:semiHidden/>
    <w:unhideWhenUsed/>
    <w:rsid w:val="00AD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C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77E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364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64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64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4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4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287C28588AE47B5541F12436A8A92" ma:contentTypeVersion="13" ma:contentTypeDescription="Create a new document." ma:contentTypeScope="" ma:versionID="651fef146935448f3fb525162d82f1df">
  <xsd:schema xmlns:xsd="http://www.w3.org/2001/XMLSchema" xmlns:xs="http://www.w3.org/2001/XMLSchema" xmlns:p="http://schemas.microsoft.com/office/2006/metadata/properties" xmlns:ns2="ef0aa9a2-9dee-4def-8bd0-a621a5e1ce2e" xmlns:ns3="8bc1494d-f552-4d9a-8580-3fffb166fff0" targetNamespace="http://schemas.microsoft.com/office/2006/metadata/properties" ma:root="true" ma:fieldsID="cb6b0d4e97b5bb7f881bcb8e2409dddf" ns2:_="" ns3:_="">
    <xsd:import namespace="ef0aa9a2-9dee-4def-8bd0-a621a5e1ce2e"/>
    <xsd:import namespace="8bc1494d-f552-4d9a-8580-3fffb166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aa9a2-9dee-4def-8bd0-a621a5e1c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9babd2-8143-42d2-8c89-867c06694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1494d-f552-4d9a-8580-3fffb166ff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2033700-dde2-4673-bc5f-a30bf32e88fa}" ma:internalName="TaxCatchAll" ma:showField="CatchAllData" ma:web="8bc1494d-f552-4d9a-8580-3fffb166f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1494d-f552-4d9a-8580-3fffb166fff0" xsi:nil="true"/>
    <lcf76f155ced4ddcb4097134ff3c332f xmlns="ef0aa9a2-9dee-4def-8bd0-a621a5e1ce2e">
      <Terms xmlns="http://schemas.microsoft.com/office/infopath/2007/PartnerControls"/>
    </lcf76f155ced4ddcb4097134ff3c332f>
    <SharedWithUsers xmlns="8bc1494d-f552-4d9a-8580-3fffb166fff0">
      <UserInfo>
        <DisplayName>Ondřej Votruba</DisplayName>
        <AccountId>158</AccountId>
        <AccountType/>
      </UserInfo>
      <UserInfo>
        <DisplayName>Kateřina Moravcová</DisplayName>
        <AccountId>174</AccountId>
        <AccountType/>
      </UserInfo>
      <UserInfo>
        <DisplayName>Kamil Blažek</DisplayName>
        <AccountId>26</AccountId>
        <AccountType/>
      </UserInfo>
      <UserInfo>
        <DisplayName>Stanislava Šremrová</DisplayName>
        <AccountId>220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EA5A4-31E0-4F7F-AA1C-8F70EC00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aa9a2-9dee-4def-8bd0-a621a5e1ce2e"/>
    <ds:schemaRef ds:uri="8bc1494d-f552-4d9a-8580-3fffb166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95D7E-BFA7-4A76-8936-C62441548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FC11D-D6E4-40DF-A057-C4E2DF405D40}">
  <ds:schemaRefs>
    <ds:schemaRef ds:uri="http://schemas.microsoft.com/office/2006/metadata/properties"/>
    <ds:schemaRef ds:uri="http://schemas.microsoft.com/office/infopath/2007/PartnerControls"/>
    <ds:schemaRef ds:uri="8bc1494d-f552-4d9a-8580-3fffb166fff0"/>
    <ds:schemaRef ds:uri="ef0aa9a2-9dee-4def-8bd0-a621a5e1c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1126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Novotna</dc:creator>
  <cp:keywords/>
  <dc:description/>
  <cp:lastModifiedBy>Stanislava Šremrová</cp:lastModifiedBy>
  <cp:revision>19</cp:revision>
  <dcterms:created xsi:type="dcterms:W3CDTF">2023-03-05T16:08:00Z</dcterms:created>
  <dcterms:modified xsi:type="dcterms:W3CDTF">2024-05-27T14:52:00Z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2022-09-19T08:01:59Z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a88f1f70-20cf-4728-96d4-5f4050c11869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0x010100148287C28588AE47B5541F12436A8A92</vt:lpwstr>
  </property>
  <property fmtid="{D5CDD505-2E9C-101B-9397-08002B2CF9AE}" pid="10" name="MediaServiceImageTags">
    <vt:lpwstr/>
  </property>
</Properties>
</file>